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D63" w:rsidRDefault="00E90D63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As PA transitions to the Common Core Standards, focus on the defined content in the PA Academic Standards should continue, as well as emphasis on areas derived from Common Core.</w:t>
      </w:r>
    </w:p>
    <w:p w:rsidR="00E90D63" w:rsidRDefault="00E90D6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88"/>
        <w:gridCol w:w="6588"/>
      </w:tblGrid>
      <w:tr w:rsidR="00E90D63">
        <w:tc>
          <w:tcPr>
            <w:tcW w:w="29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E90D63" w:rsidRDefault="00E90D63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  <w:t>Continued Emphasis</w:t>
            </w:r>
          </w:p>
        </w:tc>
        <w:tc>
          <w:tcPr>
            <w:tcW w:w="65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E90D63" w:rsidRDefault="00E90D63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  <w:t>Specific Common Core Emphasis</w:t>
            </w:r>
          </w:p>
        </w:tc>
      </w:tr>
      <w:tr w:rsidR="00E90D63">
        <w:tc>
          <w:tcPr>
            <w:tcW w:w="2988" w:type="dxa"/>
            <w:tcBorders>
              <w:top w:val="thinThickThinSmallGap" w:sz="24" w:space="0" w:color="auto"/>
            </w:tcBorders>
            <w:vAlign w:val="center"/>
          </w:tcPr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Comprehension Skills</w:t>
            </w:r>
          </w:p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(Fiction and Non-Fiction)</w:t>
            </w:r>
          </w:p>
        </w:tc>
        <w:tc>
          <w:tcPr>
            <w:tcW w:w="6588" w:type="dxa"/>
            <w:tcBorders>
              <w:top w:val="thinThickThinSmallGap" w:sz="24" w:space="0" w:color="auto"/>
            </w:tcBorders>
          </w:tcPr>
          <w:p w:rsidR="00E90D63" w:rsidRPr="00243B1C" w:rsidRDefault="00E90D63" w:rsidP="00243B1C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Increasing reading of non-fiction texts (goal of 50% @ end of Grade 4)</w:t>
            </w:r>
            <w:r w:rsidR="007622E2">
              <w:rPr>
                <w:sz w:val="22"/>
                <w:szCs w:val="22"/>
              </w:rPr>
              <w:t xml:space="preserve"> </w:t>
            </w:r>
            <w:r w:rsidR="0062495C">
              <w:rPr>
                <w:sz w:val="22"/>
                <w:szCs w:val="22"/>
              </w:rPr>
              <w:t xml:space="preserve">(CC.2.R.I.2) </w:t>
            </w:r>
            <w:r w:rsidR="007622E2">
              <w:rPr>
                <w:sz w:val="20"/>
                <w:szCs w:val="20"/>
              </w:rPr>
              <w:t>(Introduction to ELA: Key Design Considerations)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Moving beyond identification of literary elements and text features to describing/comparing/contrasting between two texts (CC.2.R.L.9) (CC.2.R.I.5)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Demonstrating comprehension through oral/written responses</w:t>
            </w:r>
            <w:r w:rsidR="006B7777">
              <w:rPr>
                <w:sz w:val="22"/>
                <w:szCs w:val="22"/>
              </w:rPr>
              <w:t xml:space="preserve"> </w:t>
            </w:r>
            <w:r w:rsidR="003F78E0">
              <w:rPr>
                <w:sz w:val="22"/>
                <w:szCs w:val="22"/>
              </w:rPr>
              <w:t xml:space="preserve">(CC.2.SL.1) </w:t>
            </w:r>
            <w:r w:rsidR="003D1C70">
              <w:rPr>
                <w:sz w:val="22"/>
                <w:szCs w:val="22"/>
              </w:rPr>
              <w:t>(CC.2.W.7)</w:t>
            </w:r>
          </w:p>
        </w:tc>
      </w:tr>
      <w:tr w:rsidR="00E90D63">
        <w:tc>
          <w:tcPr>
            <w:tcW w:w="2988" w:type="dxa"/>
            <w:vAlign w:val="center"/>
          </w:tcPr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Vocabulary Development</w:t>
            </w:r>
          </w:p>
        </w:tc>
        <w:tc>
          <w:tcPr>
            <w:tcW w:w="6588" w:type="dxa"/>
            <w:vAlign w:val="center"/>
          </w:tcPr>
          <w:p w:rsidR="00243B1C" w:rsidRPr="00243B1C" w:rsidRDefault="00243B1C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 w:rsidRPr="00243B1C">
              <w:rPr>
                <w:sz w:val="22"/>
                <w:szCs w:val="22"/>
              </w:rPr>
              <w:t>Using sentence level context clues (CC.1.L.4.a)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Emphasizing content words, multiple-meaning words, compound words, word relationships, shades of meaning among closely related verbs and adjectives (CC.2.L.5.b)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Making real life connections between words and their use (CC.2.L.5.a)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Using glossaries and beginning dictionaries (print/digital) (CC.2.L.4.e)</w:t>
            </w:r>
          </w:p>
        </w:tc>
      </w:tr>
      <w:tr w:rsidR="00E90D63">
        <w:tc>
          <w:tcPr>
            <w:tcW w:w="2988" w:type="dxa"/>
            <w:vAlign w:val="center"/>
          </w:tcPr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Word Recognition Skills</w:t>
            </w:r>
          </w:p>
        </w:tc>
        <w:tc>
          <w:tcPr>
            <w:tcW w:w="6588" w:type="dxa"/>
          </w:tcPr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Emphasizing long/short vowels (one/two syllable words), vowel teams, common affixes, grade-appropriate irregularly spelled words (CC.2.R.F.3)</w:t>
            </w:r>
          </w:p>
        </w:tc>
      </w:tr>
      <w:tr w:rsidR="00E90D63">
        <w:tc>
          <w:tcPr>
            <w:tcW w:w="2988" w:type="dxa"/>
            <w:vAlign w:val="center"/>
          </w:tcPr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Fluency</w:t>
            </w:r>
          </w:p>
        </w:tc>
        <w:tc>
          <w:tcPr>
            <w:tcW w:w="6588" w:type="dxa"/>
          </w:tcPr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Reading proficiently, with sufficient accuracy and fluency to support comprehension (CC.2.R.F.4) (CC.2.R.F.4.a)</w:t>
            </w:r>
          </w:p>
        </w:tc>
      </w:tr>
      <w:tr w:rsidR="00E90D63">
        <w:tc>
          <w:tcPr>
            <w:tcW w:w="2988" w:type="dxa"/>
            <w:vAlign w:val="center"/>
          </w:tcPr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Types of Writing</w:t>
            </w:r>
          </w:p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Quality of Writing</w:t>
            </w:r>
          </w:p>
        </w:tc>
        <w:tc>
          <w:tcPr>
            <w:tcW w:w="6588" w:type="dxa"/>
          </w:tcPr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Writing everyday in response to learning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Participating in shared research and writing projects (CC.2.W.7)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Writing opinion pieces to including topic, opinion, and supporting reasons, and a conclusion (CC.2.W.1)</w:t>
            </w:r>
          </w:p>
        </w:tc>
      </w:tr>
      <w:tr w:rsidR="00E90D63">
        <w:tc>
          <w:tcPr>
            <w:tcW w:w="2988" w:type="dxa"/>
            <w:vAlign w:val="center"/>
          </w:tcPr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Research</w:t>
            </w:r>
          </w:p>
        </w:tc>
        <w:tc>
          <w:tcPr>
            <w:tcW w:w="6588" w:type="dxa"/>
          </w:tcPr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Modeling of the research process by teacher (CC.2.W.7)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Reading several books on a single topic to produce a report (CC.2.W.7)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Recording science observations (CC.2.W.7)</w:t>
            </w:r>
          </w:p>
        </w:tc>
      </w:tr>
      <w:tr w:rsidR="00E90D63">
        <w:tc>
          <w:tcPr>
            <w:tcW w:w="2988" w:type="dxa"/>
            <w:vAlign w:val="center"/>
          </w:tcPr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Speaking and Listening</w:t>
            </w:r>
          </w:p>
        </w:tc>
        <w:tc>
          <w:tcPr>
            <w:tcW w:w="6588" w:type="dxa"/>
          </w:tcPr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Establishing agreed-upon rules for discussions (CC.2.S.L.1)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Collaborating with peers in small/large learning groups about Grade 2 topics and texts (CC.2.SL.1)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Emphasizing students’ oral responses to deepen understanding of a topic or issue (CC.2.SL.1)</w:t>
            </w:r>
          </w:p>
        </w:tc>
      </w:tr>
      <w:tr w:rsidR="00E90D63">
        <w:tc>
          <w:tcPr>
            <w:tcW w:w="2988" w:type="dxa"/>
            <w:vAlign w:val="center"/>
          </w:tcPr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t>Conventions of Standard English</w:t>
            </w:r>
          </w:p>
        </w:tc>
        <w:tc>
          <w:tcPr>
            <w:tcW w:w="6588" w:type="dxa"/>
          </w:tcPr>
          <w:p w:rsidR="00E90D63" w:rsidRDefault="00E90D63">
            <w:pPr>
              <w:pStyle w:val="ListParagraph"/>
              <w:ind w:left="0"/>
            </w:pPr>
            <w:r>
              <w:rPr>
                <w:sz w:val="22"/>
                <w:szCs w:val="22"/>
              </w:rPr>
              <w:t>Foundational grammar should be taught in the context of reading, writing, and speaking.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 xml:space="preserve">Emphasizing collective nouns, irregular plural nouns, reflexive </w:t>
            </w:r>
            <w:r>
              <w:rPr>
                <w:sz w:val="22"/>
                <w:szCs w:val="22"/>
              </w:rPr>
              <w:lastRenderedPageBreak/>
              <w:t>pronouns, irregular verb tenses, adjectives, adverbs, simple and compound sentences (CC.2.L.1) (a-f)</w:t>
            </w:r>
          </w:p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Emphasizing commas (letters), apostrophes (contractions/possessives), capitalization (holidays, product names, geographic names) (CC.2.L.2) (a-e)</w:t>
            </w:r>
          </w:p>
        </w:tc>
      </w:tr>
      <w:tr w:rsidR="00E90D63">
        <w:tc>
          <w:tcPr>
            <w:tcW w:w="2988" w:type="dxa"/>
            <w:tcBorders>
              <w:bottom w:val="thinThickThinSmallGap" w:sz="24" w:space="0" w:color="auto"/>
            </w:tcBorders>
            <w:vAlign w:val="center"/>
          </w:tcPr>
          <w:p w:rsidR="00E90D63" w:rsidRDefault="00E90D63">
            <w:pPr>
              <w:pStyle w:val="ListParagraph"/>
              <w:ind w:left="171"/>
              <w:jc w:val="center"/>
            </w:pPr>
            <w:r>
              <w:rPr>
                <w:sz w:val="22"/>
                <w:szCs w:val="22"/>
              </w:rPr>
              <w:lastRenderedPageBreak/>
              <w:t>Technology Literacy</w:t>
            </w:r>
          </w:p>
        </w:tc>
        <w:tc>
          <w:tcPr>
            <w:tcW w:w="6588" w:type="dxa"/>
            <w:tcBorders>
              <w:bottom w:val="thinThickThinSmallGap" w:sz="24" w:space="0" w:color="auto"/>
            </w:tcBorders>
          </w:tcPr>
          <w:p w:rsidR="00E90D63" w:rsidRDefault="00E90D63">
            <w:pPr>
              <w:pStyle w:val="ListParagraph"/>
              <w:numPr>
                <w:ilvl w:val="0"/>
                <w:numId w:val="4"/>
              </w:numPr>
              <w:ind w:left="342" w:hanging="256"/>
            </w:pPr>
            <w:r>
              <w:rPr>
                <w:sz w:val="22"/>
                <w:szCs w:val="22"/>
              </w:rPr>
              <w:t>Using a variety of digital tools to produce and publish writing (CC.2.W.6)</w:t>
            </w:r>
          </w:p>
        </w:tc>
      </w:tr>
    </w:tbl>
    <w:p w:rsidR="00E90D63" w:rsidRDefault="00E90D63">
      <w:pPr>
        <w:spacing w:after="0" w:line="240" w:lineRule="auto"/>
        <w:rPr>
          <w:rFonts w:ascii="Times New Roman" w:hAnsi="Times New Roman" w:cs="Times New Roman"/>
        </w:rPr>
      </w:pPr>
    </w:p>
    <w:sectPr w:rsidR="00E90D63" w:rsidSect="00E90D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440" w:bottom="1152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D63" w:rsidRDefault="00E90D63">
      <w:pPr>
        <w:spacing w:after="0" w:line="240" w:lineRule="auto"/>
      </w:pPr>
      <w:r>
        <w:separator/>
      </w:r>
    </w:p>
  </w:endnote>
  <w:endnote w:type="continuationSeparator" w:id="0">
    <w:p w:rsidR="00E90D63" w:rsidRDefault="00E9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fc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05D" w:rsidRDefault="00F4305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D63" w:rsidRDefault="00E90D63">
    <w:pPr>
      <w:pStyle w:val="Footer"/>
      <w:tabs>
        <w:tab w:val="left" w:pos="360"/>
      </w:tabs>
      <w:ind w:left="360" w:hanging="360"/>
      <w:rPr>
        <w:b/>
        <w:bCs/>
        <w:sz w:val="18"/>
        <w:szCs w:val="18"/>
      </w:rPr>
    </w:pPr>
    <w:r>
      <w:rPr>
        <w:b/>
        <w:bCs/>
        <w:sz w:val="18"/>
        <w:szCs w:val="18"/>
      </w:rPr>
      <w:t>*</w:t>
    </w:r>
    <w:r>
      <w:rPr>
        <w:b/>
        <w:bCs/>
        <w:sz w:val="18"/>
        <w:szCs w:val="18"/>
      </w:rPr>
      <w:tab/>
      <w:t>The purpose of this document is to provide a summary of similarities and differences between PA Academic Standards and Common Core Standards.  This is not intended to be a curriculum guide – only to identify shifts in delivery of instruction.</w:t>
    </w:r>
  </w:p>
  <w:p w:rsidR="00E90D63" w:rsidRDefault="00E90D63">
    <w:pPr>
      <w:pStyle w:val="Footer"/>
      <w:rPr>
        <w:b/>
        <w:bCs/>
        <w:sz w:val="18"/>
        <w:szCs w:val="18"/>
      </w:rPr>
    </w:pPr>
  </w:p>
  <w:p w:rsidR="00E90D63" w:rsidRDefault="005E1BB8">
    <w:pPr>
      <w:pStyle w:val="Footer"/>
      <w:rPr>
        <w:sz w:val="16"/>
        <w:szCs w:val="16"/>
      </w:rPr>
    </w:pPr>
    <w:r>
      <w:rPr>
        <w:sz w:val="16"/>
        <w:szCs w:val="16"/>
      </w:rPr>
      <w:t>January 2011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05D" w:rsidRDefault="00F4305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D63" w:rsidRDefault="00E90D63">
      <w:pPr>
        <w:spacing w:after="0" w:line="240" w:lineRule="auto"/>
      </w:pPr>
      <w:r>
        <w:separator/>
      </w:r>
    </w:p>
  </w:footnote>
  <w:footnote w:type="continuationSeparator" w:id="0">
    <w:p w:rsidR="00E90D63" w:rsidRDefault="00E90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05D" w:rsidRDefault="00F4305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D63" w:rsidRDefault="00E90D63">
    <w:pPr>
      <w:pStyle w:val="Header"/>
      <w:jc w:val="center"/>
    </w:pPr>
    <w:r>
      <w:t xml:space="preserve">GRADE 2 PA COMMON CORE STANDARDS </w:t>
    </w:r>
    <w:r w:rsidR="00F4305D">
      <w:t xml:space="preserve">TRANSITION GUIDE </w:t>
    </w:r>
    <w:r>
      <w:t>*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05D" w:rsidRDefault="00F4305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6CF"/>
    <w:multiLevelType w:val="hybridMultilevel"/>
    <w:tmpl w:val="502ACB42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1" w:hanging="360"/>
      </w:pPr>
      <w:rPr>
        <w:rFonts w:ascii="Wingdings" w:hAnsi="Wingdings" w:cs="Wingdings" w:hint="default"/>
      </w:rPr>
    </w:lvl>
  </w:abstractNum>
  <w:abstractNum w:abstractNumId="1">
    <w:nsid w:val="22246707"/>
    <w:multiLevelType w:val="hybridMultilevel"/>
    <w:tmpl w:val="A1A0263E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2490523B"/>
    <w:multiLevelType w:val="hybridMultilevel"/>
    <w:tmpl w:val="BC3023B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3F0D271F"/>
    <w:multiLevelType w:val="hybridMultilevel"/>
    <w:tmpl w:val="F5BE0794"/>
    <w:lvl w:ilvl="0" w:tplc="FF5E4434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cs="Symbol" w:hint="default"/>
      </w:rPr>
    </w:lvl>
    <w:lvl w:ilvl="1" w:tplc="9932842A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cs="Symbol" w:hint="default"/>
      </w:rPr>
    </w:lvl>
    <w:lvl w:ilvl="2" w:tplc="A9384F6C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cs="Symbol" w:hint="default"/>
      </w:rPr>
    </w:lvl>
    <w:lvl w:ilvl="3" w:tplc="4AB8FE96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cs="Symbol" w:hint="default"/>
      </w:rPr>
    </w:lvl>
    <w:lvl w:ilvl="4" w:tplc="6C8A5FCE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cs="Symbol" w:hint="default"/>
      </w:rPr>
    </w:lvl>
    <w:lvl w:ilvl="5" w:tplc="FE18A5E0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cs="Symbol" w:hint="default"/>
      </w:rPr>
    </w:lvl>
    <w:lvl w:ilvl="6" w:tplc="FA728316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cs="Symbol" w:hint="default"/>
      </w:rPr>
    </w:lvl>
    <w:lvl w:ilvl="7" w:tplc="7ACAFD6C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cs="Symbol" w:hint="default"/>
      </w:rPr>
    </w:lvl>
    <w:lvl w:ilvl="8" w:tplc="E4ECBF8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cs="Symbol" w:hint="default"/>
      </w:rPr>
    </w:lvl>
  </w:abstractNum>
  <w:abstractNum w:abstractNumId="6">
    <w:nsid w:val="68E0358B"/>
    <w:multiLevelType w:val="hybridMultilevel"/>
    <w:tmpl w:val="8D1A86D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7">
    <w:nsid w:val="77C35001"/>
    <w:multiLevelType w:val="hybridMultilevel"/>
    <w:tmpl w:val="E334DEF2"/>
    <w:lvl w:ilvl="0" w:tplc="E6F603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D63"/>
    <w:rsid w:val="00243B1C"/>
    <w:rsid w:val="003D1C70"/>
    <w:rsid w:val="003F78E0"/>
    <w:rsid w:val="00574410"/>
    <w:rsid w:val="005E1BB8"/>
    <w:rsid w:val="00622EF8"/>
    <w:rsid w:val="0062495C"/>
    <w:rsid w:val="006B7777"/>
    <w:rsid w:val="007622E2"/>
    <w:rsid w:val="008837D7"/>
    <w:rsid w:val="00A27C93"/>
    <w:rsid w:val="00B940F1"/>
    <w:rsid w:val="00D32EE9"/>
    <w:rsid w:val="00E90D63"/>
    <w:rsid w:val="00F4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C93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7C93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A27C93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A27C9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C9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A27C9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C93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C93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7C93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A27C93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A27C9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C9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A27C9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C9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2156</Characters>
  <Application>Microsoft Macintosh Word</Application>
  <DocSecurity>0</DocSecurity>
  <Lines>17</Lines>
  <Paragraphs>5</Paragraphs>
  <ScaleCrop>false</ScaleCrop>
  <Company>Allegheny Intermediate Unit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andrea.miller</dc:creator>
  <cp:keywords/>
  <dc:description/>
  <cp:lastModifiedBy>Rae Ann Crispell</cp:lastModifiedBy>
  <cp:revision>2</cp:revision>
  <cp:lastPrinted>2010-10-01T23:01:00Z</cp:lastPrinted>
  <dcterms:created xsi:type="dcterms:W3CDTF">2011-03-18T14:05:00Z</dcterms:created>
  <dcterms:modified xsi:type="dcterms:W3CDTF">2011-03-18T14:05:00Z</dcterms:modified>
</cp:coreProperties>
</file>